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12 199 vom 15. August 2012</w:t>
      </w:r>
    </w:p>
    <w:p>
      <w:r>
        <w:t>BL Gerichte, 2012-08-15, DE</w:t>
      </w:r>
    </w:p>
    <w:p>
      <w:r>
        <w:rPr>
          <w:b/>
        </w:rPr>
        <w:t xml:space="preserve">Quelle: </w:t>
      </w:r>
      <w:r>
        <w:t>https://mcp.opencaselaw.ch/entscheid/bl_gerichte_810 12 199</w:t>
      </w:r>
    </w:p>
    <w:p>
      <w:r>
        <w:t>FR: BL_GERICHTE 810 12 199 du 15 août 2012</w:t>
      </w:r>
    </w:p>
    <w:p>
      <w:r>
        <w:t>IT: BL_GERICHTE 810 12 199 del 15 agosto 2012</w:t>
      </w:r>
    </w:p>
    <w:p>
      <w:pPr>
        <w:pStyle w:val="Heading2"/>
      </w:pPr>
      <w:r>
        <w:t>Regeste</w:t>
      </w:r>
    </w:p>
    <w:p>
      <w:r>
        <w:t>Kantonale Abstimmungen vom 17. Juni 2012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1'400.-- werden dem Beschwerdeführer auferlegt und mit dem geleisteten Kostenvorschuss in der Höhe von Fr. 1'400.-- verrechnet.</w:t>
      </w:r>
    </w:p>
    <w:p>
      <w:r>
        <w:rPr>
          <w:b/>
        </w:rPr>
        <w:t>E. 3</w:t>
      </w:r>
    </w:p>
    <w:p>
      <w:r>
        <w:t>Die Parteikosten werden wettgeschlagen. Präsidentin Gerichtsschreiber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